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39" w:rsidRPr="00EB1F85" w:rsidRDefault="00BA6739" w:rsidP="00BA6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Тема 2.11 </w:t>
      </w:r>
      <w:r w:rsidRPr="00EB1F85">
        <w:rPr>
          <w:rFonts w:ascii="Times New Roman" w:hAnsi="Times New Roman" w:cs="Times New Roman"/>
          <w:b/>
          <w:sz w:val="28"/>
          <w:szCs w:val="28"/>
        </w:rPr>
        <w:t>Платежи в бюджет</w:t>
      </w:r>
    </w:p>
    <w:p w:rsidR="00BA6739" w:rsidRPr="00EB1F85" w:rsidRDefault="00BA6739" w:rsidP="00BA67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739" w:rsidRPr="00EB1F85" w:rsidRDefault="00BA6739" w:rsidP="00BA67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(Раздел 18 Платежи в бюджет, главы 68-71)</w:t>
      </w: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Существуют следующие платежи в бюджет:</w:t>
      </w:r>
    </w:p>
    <w:p w:rsidR="00BA6739" w:rsidRPr="00EB1F85" w:rsidRDefault="00BA6739" w:rsidP="00BA6739">
      <w:pPr>
        <w:pStyle w:val="a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Сборы</w:t>
      </w:r>
    </w:p>
    <w:p w:rsidR="00BA6739" w:rsidRPr="00EB1F85" w:rsidRDefault="00BA6739" w:rsidP="00BA6739">
      <w:pPr>
        <w:pStyle w:val="a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Платы</w:t>
      </w:r>
    </w:p>
    <w:p w:rsidR="00BA6739" w:rsidRPr="00EB1F85" w:rsidRDefault="00BA6739" w:rsidP="00BA6739">
      <w:pPr>
        <w:pStyle w:val="a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Государственная пошлина. Консульский сбор</w:t>
      </w: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A6739" w:rsidRPr="00EB1F85" w:rsidRDefault="00BA6739" w:rsidP="00BA6739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B1F85">
        <w:rPr>
          <w:rFonts w:ascii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>Сборами</w:t>
      </w:r>
      <w:r w:rsidRPr="00EB1F8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являются разовые платежи в бюджет, которые взимаются налоговыми органами и другими уполномоченными государственными органами при совершении:</w:t>
      </w:r>
    </w:p>
    <w:p w:rsidR="00BA6739" w:rsidRPr="00EB1F85" w:rsidRDefault="00BA6739" w:rsidP="00BA6739">
      <w:pPr>
        <w:pStyle w:val="a3"/>
        <w:ind w:firstLine="851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bookmarkStart w:id="0" w:name="SUB5500101"/>
      <w:bookmarkEnd w:id="0"/>
      <w:r w:rsidRPr="00EB1F8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1) регистрационных действий;</w:t>
      </w:r>
    </w:p>
    <w:p w:rsidR="00BA6739" w:rsidRPr="00EB1F85" w:rsidRDefault="00BA6739" w:rsidP="00BA6739">
      <w:pPr>
        <w:pStyle w:val="a3"/>
        <w:ind w:firstLine="851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B1F85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2) действий по выдаче разрешительных документов или их дубликатов.</w:t>
      </w: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Плательщиками сборов являются лица, а также структурные подразделения юридических лиц, в интересах которых уполномоченные государственные органы совершают действия, при осуществлении которых предусмотрено взимание сборов.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регистрационных сборов определяются в размере, кратном месячному расчетному показателю, установленному законом о республиканском бюджете (далее по тексту настоящей главы - МРП) и действующему на дату уплаты таких сборов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Нулевая ставка применяется при государственной регистрации и регистрации прекращения деятельности юридических лиц, являющихся субъектами малого и среднего предпринимательства; регистрации прав на недвижимость участников и инвалидов ВОВ, детей-сирот, отдельно проживающих пенсионеров, </w:t>
      </w:r>
      <w:proofErr w:type="spellStart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оралманов</w:t>
      </w:r>
      <w:proofErr w:type="spellEnd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; регистрации прав на произведения (авторское право) участников и инвалидов ВОВ, несовершеннолетних, </w:t>
      </w:r>
      <w:proofErr w:type="spellStart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оралманов</w:t>
      </w:r>
      <w:proofErr w:type="spellEnd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; 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i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Платы: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1. </w:t>
      </w:r>
      <w:r w:rsidRPr="00EB1F85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пользование лицензией на занятие отдельными видами деятельности</w:t>
      </w: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при осуществлении следующих видов деятельности: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1) в сфере игорного бизнеса;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2) по хранению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3) по хранению и розничной реализации алкогольной продукции, за исключением деятельности по хранению и розничной реализации алкогольной продукции на территории ее производства.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lastRenderedPageBreak/>
        <w:t xml:space="preserve">Ставки платы определяются в размере, кратном месячному расчетному показателю. </w:t>
      </w:r>
      <w:proofErr w:type="gramStart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Например, плата за лицензию для казино и зала игровых автоматов - 3 845 МРП, плата за лицензию  на хранение и розничная реализация алкогольной продукции в сельской местности – 20МРП, в городской – 60 МРП.</w:t>
      </w:r>
      <w:proofErr w:type="gramEnd"/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numPr>
          <w:ilvl w:val="0"/>
          <w:numId w:val="1"/>
        </w:numPr>
        <w:ind w:left="0"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пользование земельными участками</w:t>
      </w: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предоставление государством: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1)земельного участка во временное возмездное землепользование (аренду);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2) участка недр в соответствии с законодательством Республики Казахстан о недрах и недропользовании на основании лицензии на разведку или добычу твердых полезных ископаемых.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Ставка платы за пользование земельным участком обычно равна ставке земельного налога.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участка недр определяются исходя из размера МРП, периода действия лицензии и площади территории.</w:t>
      </w: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numPr>
          <w:ilvl w:val="0"/>
          <w:numId w:val="1"/>
        </w:numPr>
        <w:ind w:left="0"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пользование водными ресурсами поверхностных источников</w:t>
      </w: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виды специального водопользования, осуществляемого на основании разрешительного документа уполномоченного органа в области использования и охраны водного фонда, водоснабжения, водоотведения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устанавливаются местными представительными органами областей, городов республиканского значения и столицы на основании методики расчета платы, утвержденной уполномоченным органом в области использования и охраны водного фонда, водоснабжения, водоотведения.</w:t>
      </w: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numPr>
          <w:ilvl w:val="0"/>
          <w:numId w:val="1"/>
        </w:numPr>
        <w:ind w:left="0" w:firstLine="709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эмиссии в окружающую среду</w:t>
      </w: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эмиссии в окружающую среду в порядке специального природопользования, осуществляемого в соответствии с экологическим законодательством Республики Казахстан.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Объектом обложения является фактический объем эмиссий в окружающую среду в виде: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1) выбросов загрязняющих веществ;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2) сбросов загрязняющих веществ;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3) размещенных отходов производства и потребления;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4) размещенной серы, образующейся при проведении нефтяных операций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зависят от вида загрязняющих веществ, топлива, отходов исходя из размера МРП.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5. </w:t>
      </w:r>
      <w:r w:rsidRPr="00EB1F85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пользование животным миром</w:t>
      </w: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пользование животным миром в порядке специального пользования животным миром.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Плата за пользование редкими и находящимися под угрозой исчезновения видами животных устанавливается в каждом отдельном случае Правительством Республики Казахстан при выдаче разрешения на изъятие этих животных из природной среды. Платы при проведении промысловой, любительской и спортивной охоты.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определяются в размере, кратном МРП.</w:t>
      </w:r>
    </w:p>
    <w:p w:rsidR="00BA6739" w:rsidRPr="00EB1F85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6. </w:t>
      </w:r>
      <w:r w:rsidRPr="00EB1F85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лесные пользования</w:t>
      </w:r>
      <w:r w:rsidRPr="00EB1F85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следующие виды лесных пользований на участках государственного лесного фонда: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1) заготовка древесины;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2) заготовка живицы и древесных соков;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3) заготовка второстепенных древесных ресурсов (коры, ветвей, пней, корней, листьев, почек деревьев и кустарников);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proofErr w:type="gramStart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4) побочные лесные пользования (сенокошение, пастьба скота, мараловодство, звероводство, размещение ульев и пасек, огородничество, бахчеводство, садоводство и выращивание иных сельскохозяйственных культур, заготовка и сбор лекарственных растений и технического сырья, дикорастущих плодов, орехов, грибов, ягод и других пищевых продуктов, мха, лесной подстилки и опавших листьев, камыша);</w:t>
      </w:r>
      <w:proofErr w:type="gramEnd"/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5) пользование участками государственного лесного фонда </w:t>
      </w:r>
      <w:proofErr w:type="gramStart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для</w:t>
      </w:r>
      <w:proofErr w:type="gramEnd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: 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-культурно-оздоровительных, рекреационных, туристских и спортивных целей;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-нужд охотничьего хозяйства; научно-исследовательских целей;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6) пользование участками государственного лесного фонда для выращивания посадочного материала древесных и кустарниковых пород и плантационных насаждений специального назначения.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за древесину, определяются в размере, кратном МРП, за один плотный кубический метр с учетом поправочных коэффициентов (удаленность от дорог, рельеф местности).</w:t>
      </w:r>
    </w:p>
    <w:p w:rsid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numPr>
          <w:ilvl w:val="0"/>
          <w:numId w:val="2"/>
        </w:numPr>
        <w:ind w:left="0"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proofErr w:type="gramStart"/>
      <w:r w:rsidRPr="00E627A2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использование особо охраняемых природных территорий</w:t>
      </w:r>
      <w:r w:rsidRPr="00E627A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использование особо охраняемых природных территорий Республики Казахстан в пределах внешних границ особо охраняемых природных территорий (за исключением территорий государственных природных памятников, государственных природных заказников, государственных заповедных зон) в научных, эколого-просветительных, культурно-просветительных, учебных, туристских, рекреационных и ограниченных хозяйственных целях, определенных Законом Республики Казахстан «Об особо охраняемых природных территориях».</w:t>
      </w:r>
      <w:proofErr w:type="gramEnd"/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за использование особо охраняемых природных территорий: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lastRenderedPageBreak/>
        <w:t xml:space="preserve">- республиканского значения определяются из расчета 0,1 МРП, 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- местного значения - устанавливаются местными представительными органами.</w:t>
      </w:r>
    </w:p>
    <w:p w:rsid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numPr>
          <w:ilvl w:val="0"/>
          <w:numId w:val="2"/>
        </w:numPr>
        <w:ind w:left="0"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627A2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использование радиочастотного спектра</w:t>
      </w:r>
      <w:r w:rsidRPr="00E627A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выделенные уполномоченным государственным органом, осуществляющим реализацию государственной политики в области связи, номиналы (полосы, диапазоны) радиочастотного спектра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Годовые ставки платы определяются в размере, кратном МРП, исходя из вида радиосвязи или диапазона частот для цифрового телевещания и территории использования.</w:t>
      </w:r>
    </w:p>
    <w:p w:rsidR="00BA6739" w:rsidRPr="00E627A2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numPr>
          <w:ilvl w:val="0"/>
          <w:numId w:val="2"/>
        </w:numPr>
        <w:ind w:left="0"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627A2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предоставление междугородной и (или) международной телефонной связи, а также сотовой связи</w:t>
      </w:r>
      <w:r w:rsidRPr="00E627A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право предоставления: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1) междугородной и (или) международной телефонной связи;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2) сотовой связи.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устанавливаются Правительством Республики Казахстан.</w:t>
      </w:r>
    </w:p>
    <w:p w:rsid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BA6739" w:rsidRDefault="00BA6739" w:rsidP="00BA6739">
      <w:pPr>
        <w:pStyle w:val="a3"/>
        <w:numPr>
          <w:ilvl w:val="0"/>
          <w:numId w:val="2"/>
        </w:numPr>
        <w:ind w:left="0"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E627A2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Плата за размещение наружной (визуальной) рекламы</w:t>
      </w:r>
      <w:r w:rsidRPr="00E627A2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взимается за размещение наружной (визуальной) рекламы в полосе отвода автомобильных дорог общего пользования, на открытом пространстве за пределами помещений в населенных пунктах.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Ставки платы определяются в размере, кратном МРП, исходя из вида рекламы и ее размещения</w:t>
      </w:r>
    </w:p>
    <w:p w:rsid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BA6739" w:rsidRPr="00CA7B9D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i/>
          <w:sz w:val="36"/>
          <w:szCs w:val="28"/>
          <w:bdr w:val="none" w:sz="0" w:space="0" w:color="auto" w:frame="1"/>
        </w:rPr>
      </w:pPr>
      <w:r w:rsidRPr="00CA7B9D">
        <w:rPr>
          <w:rStyle w:val="s1"/>
          <w:i/>
          <w:sz w:val="28"/>
        </w:rPr>
        <w:t>Государственная пошлина. Консульский сбор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bookmarkStart w:id="1" w:name="_GoBack"/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Государственной пошлиной является платеж в бюджет, взимаемый за совершение юридически значимых действий, в том числе связанных с выдачей документов (их копий, дубликатов) уполномоченными государственными органами или должностными лицами.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BA673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Консульским сбором является платеж в бюджет, взимаемый дипломатическими представительствами и консульскими учреждениями Республики Казахстан с иностранцев, лиц без гражданства, иностранных юридических лиц-нерезидентов, физических и юридических лиц Республики Казахстан, за совершение консульских действий и выдачу документов, имеющих юридическое значение.</w:t>
      </w:r>
    </w:p>
    <w:p w:rsidR="00BA6739" w:rsidRPr="00BA6739" w:rsidRDefault="00BA6739" w:rsidP="00BA6739">
      <w:pPr>
        <w:pStyle w:val="a3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bookmarkEnd w:id="1"/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37A4A"/>
    <w:multiLevelType w:val="hybridMultilevel"/>
    <w:tmpl w:val="BA3ABF2C"/>
    <w:lvl w:ilvl="0" w:tplc="26A269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4AC784D"/>
    <w:multiLevelType w:val="hybridMultilevel"/>
    <w:tmpl w:val="0082CD8C"/>
    <w:lvl w:ilvl="0" w:tplc="D3AC0D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0984331"/>
    <w:multiLevelType w:val="hybridMultilevel"/>
    <w:tmpl w:val="5F906FBC"/>
    <w:lvl w:ilvl="0" w:tplc="C47C6B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73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A6739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739"/>
    <w:pPr>
      <w:spacing w:after="0" w:line="240" w:lineRule="auto"/>
    </w:pPr>
  </w:style>
  <w:style w:type="character" w:styleId="a4">
    <w:name w:val="Strong"/>
    <w:basedOn w:val="a0"/>
    <w:uiPriority w:val="22"/>
    <w:qFormat/>
    <w:rsid w:val="00BA6739"/>
    <w:rPr>
      <w:b/>
      <w:bCs/>
    </w:rPr>
  </w:style>
  <w:style w:type="character" w:customStyle="1" w:styleId="s1">
    <w:name w:val="s1"/>
    <w:rsid w:val="00BA6739"/>
    <w:rPr>
      <w:rFonts w:ascii="Times New Roman" w:hAnsi="Times New Roman" w:cs="Times New Roman" w:hint="default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739"/>
    <w:pPr>
      <w:spacing w:after="0" w:line="240" w:lineRule="auto"/>
    </w:pPr>
  </w:style>
  <w:style w:type="character" w:styleId="a4">
    <w:name w:val="Strong"/>
    <w:basedOn w:val="a0"/>
    <w:uiPriority w:val="22"/>
    <w:qFormat/>
    <w:rsid w:val="00BA6739"/>
    <w:rPr>
      <w:b/>
      <w:bCs/>
    </w:rPr>
  </w:style>
  <w:style w:type="character" w:customStyle="1" w:styleId="s1">
    <w:name w:val="s1"/>
    <w:rsid w:val="00BA6739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2020-11-29T15:23:00Z</dcterms:created>
  <dcterms:modified xsi:type="dcterms:W3CDTF">2020-11-29T15:25:00Z</dcterms:modified>
</cp:coreProperties>
</file>